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2026-01-08T20:02:27.443Z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originating from a single external IP address. The incident involved 15 authentication failure events, triggering a QRadar offense with a severity of 7 and magnitude of 6, categorized as a brute force attack.</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likely attempted to gain unauthorized access to the VPN service by systematically trying multiple login credentials from a single external IP address, resulting in repeated authentication failures indicative of a brute force attack.</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risking unauthorized access to internal network resources if successful. Although no successful logins were reported, the brute force attempts could lead to account lockouts, service degradation, or increased monitoring overhead.</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or enhance multi-factor authentication (MFA) for VPN access.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Deploy rate limiting or account lockout policies after a threshold of failed login attempts.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and block suspicious IP addresses exhibiting brute force behavior.</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Conduct regular password audits and enforce strong password policies.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Increase logging and alerting sensitivity for authentication failures.</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Were any of the failed login attempts eventually successful?</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identity or nature of the targeted user accounts?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Is the source IP address associated with known malicious activity or threat intelligence feeds?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indicators of lateral movement or further compromise following the brute force attempts?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are the VPN server configurations regarding lockout thresholds and MFA enforcement?</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w:t>
        <w:br/>
        <w:t xml:space="preserve">  "root_cause": "An attacker is attempting to gain unauthorized access to the organization's VPN network through brute-force attacks, using multiple failed login attempts from a single external IP address.",</w:t>
        <w:br/>
        <w:t xml:space="preserve">  "attack_flow": "The attacker initiated multiple failed VPN login attempts within a short timeframe (15 minutes) from the source IP 203.0.113.55 targeting the VPN gateway host (vpn-gateway-01) with the IP address 10.10.20.15. The attacker likely attempted to guess valid usernames and passwords, resulting in a series of authentication failures.",</w:t>
        <w:br/>
        <w:t xml:space="preserve">  "affected_assets": [</w:t>
        <w:br/>
        <w:t xml:space="preserve">    "vpn-gateway-01",</w:t>
        <w:br/>
        <w:t xml:space="preserve">    "VPN Server"</w:t>
        <w:br/>
        <w:t xml:space="preserve">  ],</w:t>
        <w:br/>
        <w:t xml:space="preserve">  "impact_summary": "The brute-force attack attempts to compromise the integrity and availability of the VPN network. Successful exploitation could lead to unauthorized access to internal resources, data exfiltration, or disruption of business operations.",</w:t>
        <w:br/>
        <w:t xml:space="preserve">  "risk_rating": "High",</w:t>
        <w:br/>
        <w:t xml:space="preserve">  "recommended_actions": [</w:t>
        <w:br/>
        <w:t xml:space="preserve">    "Implement multi-factor authentication (MFA) for VPN access.",</w:t>
        <w:br/>
        <w:t xml:space="preserve">    "Configure rate limiting on VPN login attempts to prevent brute-force attacks.",</w:t>
        <w:br/>
        <w:t xml:space="preserve">    "Review and strengthen password policies, including minimum length, complexity requirements, and regular password changes.",</w:t>
        <w:br/>
        <w:t xml:space="preserve">    "Monitor VPN logs for suspicious activity and implement alerts for failed login attempts.",</w:t>
        <w:br/>
        <w:t xml:space="preserve">    "Investigate the source IP address (203.0.113.55) to identify potential malicious actors or compromised systems."</w:t>
        <w:br/>
        <w:t xml:space="preserve">  ]</w:t>
        <w:br/>
        <w:t xml:space="preserve">}</w:t>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